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D" w:rsidRDefault="00633DED">
      <w:pPr>
        <w:pStyle w:val="Cm"/>
        <w:outlineLvl w:val="0"/>
      </w:pPr>
      <w:bookmarkStart w:id="0" w:name="_GoBack"/>
      <w:bookmarkEnd w:id="0"/>
      <w:r>
        <w:t>Biztonsági adatlap</w:t>
      </w:r>
    </w:p>
    <w:p w:rsidR="00633DED" w:rsidRDefault="00295C03">
      <w:pPr>
        <w:jc w:val="center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>
            <wp:extent cx="2543175" cy="4953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ED" w:rsidRDefault="00633DED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1163"/>
        <w:gridCol w:w="3453"/>
      </w:tblGrid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sz w:val="20"/>
                <w:u w:val="single"/>
              </w:rPr>
            </w:pPr>
          </w:p>
          <w:p w:rsidR="00633DED" w:rsidRDefault="00633DED" w:rsidP="00F317C0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Anyag / Elkészítés- és cégmegnevezés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  <w:r>
              <w:rPr>
                <w:sz w:val="20"/>
              </w:rPr>
              <w:t>A termék adatai:</w:t>
            </w:r>
          </w:p>
          <w:p w:rsidR="00633DED" w:rsidRDefault="00633DED" w:rsidP="00F317C0">
            <w:pPr>
              <w:numPr>
                <w:ilvl w:val="0"/>
                <w:numId w:val="3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Kereskedelmi név</w:t>
            </w:r>
            <w:r>
              <w:rPr>
                <w:b w:val="0"/>
                <w:sz w:val="20"/>
              </w:rPr>
              <w:t xml:space="preserve">: </w:t>
            </w:r>
            <w:r w:rsidR="005455B7" w:rsidRPr="005455B7">
              <w:rPr>
                <w:rFonts w:ascii="Cambria" w:eastAsia="ArialNarrow,Italic" w:hAnsi="Cambria" w:cs="ArialNarrow,Italic"/>
                <w:b w:val="0"/>
                <w:i/>
                <w:iCs/>
                <w:sz w:val="21"/>
                <w:szCs w:val="21"/>
              </w:rPr>
              <w:t>ESTETIC S powder, ESTETIC SPECIAL powder</w:t>
            </w:r>
          </w:p>
          <w:p w:rsidR="00633DED" w:rsidRDefault="00633DED" w:rsidP="00F317C0">
            <w:pPr>
              <w:numPr>
                <w:ilvl w:val="0"/>
                <w:numId w:val="3"/>
              </w:numPr>
              <w:rPr>
                <w:b w:val="0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CAS szám: 9011-14-7</w:t>
            </w:r>
          </w:p>
          <w:p w:rsidR="005455B7" w:rsidRPr="005455B7" w:rsidRDefault="00633DED" w:rsidP="00F317C0">
            <w:pPr>
              <w:numPr>
                <w:ilvl w:val="0"/>
                <w:numId w:val="3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Gyártó / szállító cég adatai</w:t>
            </w:r>
            <w:r w:rsidRPr="005455B7">
              <w:rPr>
                <w:rFonts w:ascii="Cambria" w:hAnsi="Cambria"/>
                <w:sz w:val="20"/>
              </w:rPr>
              <w:t>:</w:t>
            </w:r>
            <w:r w:rsidR="005455B7" w:rsidRPr="005455B7">
              <w:rPr>
                <w:rFonts w:ascii="Cambria" w:eastAsia="ArialNarrow,Italic" w:hAnsi="Cambria" w:cs="ArialNarrow,Italic"/>
                <w:b w:val="0"/>
                <w:i/>
                <w:iCs/>
                <w:sz w:val="21"/>
                <w:szCs w:val="21"/>
              </w:rPr>
              <w:t xml:space="preserve"> Wytwórnia Zębów Sztucznych ”WIEDENT” Sp. Jawna, 94-104 Łódź, Obywatelska Str 187/189,</w:t>
            </w:r>
          </w:p>
          <w:p w:rsidR="00633DED" w:rsidRDefault="00633DED" w:rsidP="00F317C0">
            <w:pPr>
              <w:numPr>
                <w:ilvl w:val="0"/>
                <w:numId w:val="3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Forgalmazó / importáló</w:t>
            </w:r>
            <w:r>
              <w:rPr>
                <w:b w:val="0"/>
                <w:sz w:val="20"/>
              </w:rPr>
              <w:t>: Pegadent Bt. 1025. Budapest, Verecke u. 80/a, Tel: 3-709-777</w:t>
            </w:r>
          </w:p>
          <w:p w:rsidR="00633DED" w:rsidRPr="005455B7" w:rsidRDefault="00633DED" w:rsidP="00F317C0">
            <w:pPr>
              <w:numPr>
                <w:ilvl w:val="0"/>
                <w:numId w:val="3"/>
              </w:numPr>
              <w:rPr>
                <w:rFonts w:ascii="Cambria" w:hAnsi="Cambria"/>
                <w:b w:val="0"/>
                <w:sz w:val="20"/>
              </w:rPr>
            </w:pPr>
            <w:r>
              <w:rPr>
                <w:sz w:val="20"/>
              </w:rPr>
              <w:t>Szükség esetén nyújtott információ:</w:t>
            </w:r>
            <w:r>
              <w:rPr>
                <w:b w:val="0"/>
                <w:sz w:val="20"/>
              </w:rPr>
              <w:t xml:space="preserve"> </w:t>
            </w:r>
            <w:hyperlink r:id="rId8" w:history="1">
              <w:r w:rsidR="005455B7" w:rsidRPr="00F317C0">
                <w:rPr>
                  <w:rStyle w:val="Hiperhivatkozs"/>
                  <w:rFonts w:ascii="Cambria" w:eastAsia="ArialNarrow,Italic" w:hAnsi="Cambria" w:cs="ArialNarrow,Italic"/>
                  <w:b w:val="0"/>
                  <w:i/>
                  <w:iCs/>
                  <w:sz w:val="21"/>
                  <w:szCs w:val="21"/>
                </w:rPr>
                <w:t>a.suskiewicz@wiedent.com.pl</w:t>
              </w:r>
            </w:hyperlink>
            <w:r w:rsidR="005455B7" w:rsidRPr="005455B7">
              <w:rPr>
                <w:rFonts w:ascii="Cambria" w:eastAsia="ArialNarrow,Italic" w:hAnsi="Cambria" w:cs="ArialNarrow,Italic"/>
                <w:b w:val="0"/>
                <w:i/>
                <w:iCs/>
                <w:sz w:val="21"/>
                <w:szCs w:val="21"/>
              </w:rPr>
              <w:t>, +48 (42) 640 48 70</w:t>
            </w:r>
          </w:p>
          <w:p w:rsidR="00633DED" w:rsidRDefault="00633DED" w:rsidP="00F317C0">
            <w:pPr>
              <w:numPr>
                <w:ilvl w:val="0"/>
                <w:numId w:val="3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ETTSZ :</w:t>
            </w:r>
            <w:r>
              <w:rPr>
                <w:b w:val="0"/>
                <w:sz w:val="20"/>
              </w:rPr>
              <w:t xml:space="preserve"> 1096 Budapest,Nagyvárad tér 2. Tel: 06-80-201-199 (hívható 0-24 h  )</w:t>
            </w:r>
          </w:p>
          <w:p w:rsidR="0069361D" w:rsidRDefault="0069361D" w:rsidP="00F317C0">
            <w:pPr>
              <w:numPr>
                <w:ilvl w:val="0"/>
                <w:numId w:val="3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Kapcsolattartó</w:t>
            </w:r>
            <w:r>
              <w:rPr>
                <w:b w:val="0"/>
                <w:sz w:val="20"/>
              </w:rPr>
              <w:t>: Glatz Péter, Pegadent Bt. 1025.Budapest, Verecke u. 80. Tel:06-30-933-7438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sz w:val="20"/>
                <w:u w:val="single"/>
              </w:rPr>
            </w:pPr>
          </w:p>
          <w:p w:rsidR="00633DED" w:rsidRDefault="00633DED" w:rsidP="00F317C0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Összetétel, adatok az összetevőkhöz:</w:t>
            </w:r>
          </w:p>
          <w:p w:rsidR="00633DED" w:rsidRDefault="00633DED" w:rsidP="00F317C0">
            <w:pPr>
              <w:numPr>
                <w:ilvl w:val="0"/>
                <w:numId w:val="4"/>
              </w:numPr>
              <w:rPr>
                <w:b w:val="0"/>
                <w:color w:val="000000"/>
                <w:sz w:val="20"/>
              </w:rPr>
            </w:pPr>
            <w:r>
              <w:rPr>
                <w:sz w:val="20"/>
              </w:rPr>
              <w:t>Kémiai jellemzés</w:t>
            </w:r>
            <w:r>
              <w:rPr>
                <w:b w:val="0"/>
                <w:sz w:val="20"/>
              </w:rPr>
              <w:t>: Polymethyl Methacrylat Co-Polimer</w:t>
            </w:r>
          </w:p>
          <w:p w:rsidR="00633DED" w:rsidRDefault="00633DED" w:rsidP="00F317C0">
            <w:pPr>
              <w:numPr>
                <w:ilvl w:val="0"/>
                <w:numId w:val="4"/>
              </w:numPr>
              <w:rPr>
                <w:b w:val="0"/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Veszélyes anyagtartalom</w:t>
            </w:r>
            <w:r>
              <w:rPr>
                <w:b w:val="0"/>
                <w:color w:val="000000"/>
                <w:sz w:val="20"/>
              </w:rPr>
              <w:t>: CAS-szám 9011-14-7 /92/5</w:t>
            </w:r>
          </w:p>
          <w:p w:rsidR="00633DED" w:rsidRDefault="00633DED">
            <w:pPr>
              <w:ind w:left="360"/>
              <w:rPr>
                <w:b w:val="0"/>
                <w:sz w:val="20"/>
              </w:rPr>
            </w:pP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Lehetséges veszélyek:</w:t>
            </w:r>
          </w:p>
          <w:p w:rsidR="00633DED" w:rsidRDefault="00633DED" w:rsidP="00F317C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Veszély jellege: </w:t>
            </w:r>
          </w:p>
          <w:p w:rsidR="00633DED" w:rsidRDefault="00633DED">
            <w:pPr>
              <w:ind w:left="454"/>
              <w:rPr>
                <w:sz w:val="20"/>
              </w:rPr>
            </w:pPr>
            <w:r>
              <w:rPr>
                <w:sz w:val="20"/>
              </w:rPr>
              <w:t>Lásd: 10-15 pont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1"/>
              </w:numPr>
              <w:rPr>
                <w:b w:val="0"/>
                <w:sz w:val="20"/>
              </w:rPr>
            </w:pPr>
            <w:r>
              <w:rPr>
                <w:sz w:val="20"/>
                <w:u w:val="single"/>
              </w:rPr>
              <w:t>Elsősegélynyújtó intézkedések</w:t>
            </w:r>
            <w:r>
              <w:rPr>
                <w:b w:val="0"/>
                <w:sz w:val="20"/>
              </w:rPr>
              <w:t>:</w:t>
            </w:r>
          </w:p>
          <w:p w:rsidR="00633DED" w:rsidRDefault="00633DED">
            <w:pPr>
              <w:pStyle w:val="Szvegtrzs"/>
            </w:pPr>
            <w:r>
              <w:t>Nem szükséges különleges óvintézkedés</w:t>
            </w:r>
          </w:p>
          <w:p w:rsidR="00633DED" w:rsidRDefault="00633DED" w:rsidP="00F317C0">
            <w:pPr>
              <w:numPr>
                <w:ilvl w:val="0"/>
                <w:numId w:val="6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Belégzés esetén</w:t>
            </w:r>
            <w:r>
              <w:rPr>
                <w:b w:val="0"/>
                <w:sz w:val="20"/>
              </w:rPr>
              <w:t>:  menjen friss levegõre és tünetek jelentkezése esetén konzultálni kell az orvossal</w:t>
            </w:r>
          </w:p>
          <w:p w:rsidR="00633DED" w:rsidRDefault="00633DED" w:rsidP="00F317C0">
            <w:pPr>
              <w:numPr>
                <w:ilvl w:val="0"/>
                <w:numId w:val="6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Bőrrel való érintkezés után</w:t>
            </w:r>
            <w:r>
              <w:rPr>
                <w:b w:val="0"/>
                <w:sz w:val="20"/>
              </w:rPr>
              <w:t xml:space="preserve">: A termék nem irritatív hatású. </w:t>
            </w:r>
          </w:p>
          <w:p w:rsidR="00633DED" w:rsidRDefault="00633DED" w:rsidP="00F317C0">
            <w:pPr>
              <w:numPr>
                <w:ilvl w:val="0"/>
                <w:numId w:val="6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Szembe kerülve</w:t>
            </w:r>
            <w:r>
              <w:rPr>
                <w:b w:val="0"/>
                <w:sz w:val="20"/>
              </w:rPr>
              <w:t>: Sok vízzel mossa ki belőle a  belekerült anyagot, és keresse fel az orvost.</w:t>
            </w:r>
          </w:p>
          <w:p w:rsidR="00633DED" w:rsidRDefault="00633DED" w:rsidP="00F317C0">
            <w:pPr>
              <w:numPr>
                <w:ilvl w:val="0"/>
                <w:numId w:val="6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Lenyelve</w:t>
            </w:r>
            <w:r>
              <w:rPr>
                <w:b w:val="0"/>
                <w:sz w:val="20"/>
              </w:rPr>
              <w:t>: bármely tünet esetén forduljon orvoshoz</w:t>
            </w: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Tűzvédelmi intézkedések:</w:t>
            </w:r>
          </w:p>
          <w:p w:rsidR="00633DED" w:rsidRDefault="00633DED">
            <w:pPr>
              <w:ind w:left="426"/>
              <w:rPr>
                <w:b w:val="0"/>
                <w:sz w:val="20"/>
              </w:rPr>
            </w:pPr>
            <w:r>
              <w:rPr>
                <w:sz w:val="20"/>
              </w:rPr>
              <w:t>Megfelelő oltóanyag</w:t>
            </w:r>
            <w:r>
              <w:rPr>
                <w:b w:val="0"/>
                <w:sz w:val="20"/>
              </w:rPr>
              <w:t>:.</w:t>
            </w:r>
          </w:p>
          <w:p w:rsidR="00633DED" w:rsidRDefault="00633DED" w:rsidP="00F317C0">
            <w:pPr>
              <w:numPr>
                <w:ilvl w:val="0"/>
                <w:numId w:val="28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Vízsugár</w:t>
            </w:r>
          </w:p>
          <w:p w:rsidR="00633DED" w:rsidRDefault="00633DED" w:rsidP="00F317C0">
            <w:pPr>
              <w:numPr>
                <w:ilvl w:val="0"/>
                <w:numId w:val="28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Hab</w:t>
            </w:r>
          </w:p>
          <w:p w:rsidR="00633DED" w:rsidRDefault="00633DED" w:rsidP="00F317C0">
            <w:pPr>
              <w:numPr>
                <w:ilvl w:val="0"/>
                <w:numId w:val="28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Száraz por</w:t>
            </w:r>
          </w:p>
          <w:p w:rsidR="00633DED" w:rsidRDefault="00633DED" w:rsidP="00F317C0">
            <w:pPr>
              <w:numPr>
                <w:ilvl w:val="0"/>
                <w:numId w:val="28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</w:t>
            </w:r>
            <w:r>
              <w:rPr>
                <w:b w:val="0"/>
                <w:sz w:val="20"/>
                <w:vertAlign w:val="subscript"/>
              </w:rPr>
              <w:t>2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</w:t>
            </w:r>
            <w:r>
              <w:rPr>
                <w:sz w:val="20"/>
              </w:rPr>
              <w:t>Különleges védőfelszerelés oltáshoz</w:t>
            </w:r>
            <w:r>
              <w:rPr>
                <w:b w:val="0"/>
                <w:sz w:val="20"/>
              </w:rPr>
              <w:t>: nem szükséges. Tûz esetén használjon légzõmaszkot, menjen friss levegõre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1"/>
              </w:numPr>
              <w:rPr>
                <w:b w:val="0"/>
                <w:sz w:val="20"/>
              </w:rPr>
            </w:pPr>
            <w:r>
              <w:rPr>
                <w:sz w:val="20"/>
                <w:u w:val="single"/>
              </w:rPr>
              <w:t xml:space="preserve">Baleseti  intézkedések: </w:t>
            </w:r>
            <w:r>
              <w:rPr>
                <w:b w:val="0"/>
                <w:sz w:val="20"/>
              </w:rPr>
              <w:t>lsd 8-13 pont</w:t>
            </w:r>
          </w:p>
          <w:p w:rsidR="00633DED" w:rsidRDefault="00633DED" w:rsidP="00F317C0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Személyekre vonatkoztatott biztonsági intézkedések:</w:t>
            </w:r>
          </w:p>
          <w:p w:rsidR="00633DED" w:rsidRDefault="00633DED">
            <w:pPr>
              <w:ind w:left="45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Nem szükséges.</w:t>
            </w:r>
          </w:p>
          <w:p w:rsidR="00633DED" w:rsidRDefault="00633DED" w:rsidP="00F317C0">
            <w:pPr>
              <w:numPr>
                <w:ilvl w:val="0"/>
                <w:numId w:val="8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Környezetvédelmi intézkedések:</w:t>
            </w:r>
          </w:p>
          <w:p w:rsidR="00633DED" w:rsidRDefault="00633DED">
            <w:pPr>
              <w:ind w:left="45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Nem szükséges.</w:t>
            </w:r>
          </w:p>
          <w:p w:rsidR="00633DED" w:rsidRDefault="00633DED" w:rsidP="00F317C0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Tisztítási, eltávolítási eljárások:</w:t>
            </w:r>
          </w:p>
          <w:p w:rsidR="00633DED" w:rsidRDefault="00633DED">
            <w:pPr>
              <w:ind w:left="45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Nincs specifikus elõírás, mechanikus tisztítás javasolt.</w:t>
            </w: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Kezelés és raktározás:</w:t>
            </w:r>
          </w:p>
          <w:p w:rsidR="00633DED" w:rsidRDefault="00633DED" w:rsidP="00F317C0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Információk a biztonságos kezeléshez:</w:t>
            </w:r>
          </w:p>
          <w:p w:rsidR="00633DED" w:rsidRDefault="00633DED">
            <w:pPr>
              <w:ind w:firstLine="42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Nincs különleges elõírás.</w:t>
            </w:r>
          </w:p>
          <w:p w:rsidR="00633DED" w:rsidRDefault="00633DED" w:rsidP="00F317C0">
            <w:pPr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Tűz és robbanásvédelmi információk:</w:t>
            </w:r>
          </w:p>
          <w:p w:rsidR="00633DED" w:rsidRDefault="00633DED">
            <w:pPr>
              <w:ind w:firstLine="42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Nincs különleges elõírás.</w:t>
            </w:r>
          </w:p>
          <w:p w:rsidR="00633DED" w:rsidRDefault="00633DED" w:rsidP="00F317C0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Raktározás:</w:t>
            </w:r>
          </w:p>
          <w:p w:rsidR="00633DED" w:rsidRDefault="00633DED">
            <w:pPr>
              <w:pStyle w:val="Szvegtrzsbehzssal2"/>
              <w:rPr>
                <w:b w:val="0"/>
              </w:rPr>
            </w:pPr>
            <w:r>
              <w:rPr>
                <w:b w:val="0"/>
              </w:rPr>
              <w:t>Nincs különleges elõírás.</w:t>
            </w: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lastRenderedPageBreak/>
              <w:t>Az egészséget nem veszélyeztető munkavégzés feltételei:</w:t>
            </w: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sz w:val="20"/>
              </w:rPr>
              <w:t>Védelmi előírások:</w:t>
            </w:r>
            <w:r>
              <w:rPr>
                <w:b w:val="0"/>
                <w:sz w:val="20"/>
              </w:rPr>
              <w:t xml:space="preserve"> </w:t>
            </w:r>
          </w:p>
          <w:p w:rsidR="00633DED" w:rsidRDefault="00633DED">
            <w:pPr>
              <w:pStyle w:val="Szvegtrzsbehzssal2"/>
              <w:rPr>
                <w:b w:val="0"/>
              </w:rPr>
            </w:pPr>
            <w:r>
              <w:rPr>
                <w:b w:val="0"/>
              </w:rPr>
              <w:t>A termék nem tartalmaz olyan anyagokat, melyeket folyamatos ellenõrzés alatt kell tartani.</w:t>
            </w:r>
          </w:p>
          <w:p w:rsidR="00633DED" w:rsidRDefault="00633DED" w:rsidP="00F317C0">
            <w:pPr>
              <w:numPr>
                <w:ilvl w:val="0"/>
                <w:numId w:val="13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Munkaterülethez kötött, ellenőrizendő határértékű összetevők</w:t>
            </w:r>
            <w:r>
              <w:rPr>
                <w:b w:val="0"/>
                <w:sz w:val="20"/>
              </w:rPr>
              <w:t>:</w:t>
            </w:r>
          </w:p>
          <w:p w:rsidR="00633DED" w:rsidRDefault="00633DED">
            <w:pPr>
              <w:ind w:firstLine="42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MAK-osztály / BAT érték::   6mg/m</w:t>
            </w:r>
            <w:r>
              <w:rPr>
                <w:b w:val="0"/>
                <w:sz w:val="20"/>
                <w:vertAlign w:val="superscript"/>
              </w:rPr>
              <w:t>3</w:t>
            </w:r>
          </w:p>
          <w:p w:rsidR="00633DED" w:rsidRDefault="00633DED">
            <w:pPr>
              <w:pStyle w:val="Cmsor3"/>
            </w:pPr>
            <w:r>
              <w:t>Személyes védőfelszerelés</w:t>
            </w:r>
          </w:p>
          <w:p w:rsidR="00633DED" w:rsidRDefault="00633DED" w:rsidP="00F317C0">
            <w:pPr>
              <w:numPr>
                <w:ilvl w:val="0"/>
                <w:numId w:val="35"/>
              </w:numPr>
              <w:rPr>
                <w:b w:val="0"/>
                <w:sz w:val="20"/>
                <w:u w:val="single"/>
              </w:rPr>
            </w:pPr>
            <w:r>
              <w:rPr>
                <w:sz w:val="20"/>
              </w:rPr>
              <w:t>Általános védelmi és egészségügyi intézkedések</w:t>
            </w:r>
            <w:r>
              <w:rPr>
                <w:b w:val="0"/>
                <w:sz w:val="20"/>
                <w:u w:val="single"/>
              </w:rPr>
              <w:t>:</w:t>
            </w:r>
          </w:p>
          <w:p w:rsidR="00633DED" w:rsidRDefault="00633DED">
            <w:pPr>
              <w:ind w:left="42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Az általános szabályokon túl nincsenek speviális szabályozások.</w:t>
            </w:r>
          </w:p>
          <w:p w:rsidR="00633DED" w:rsidRDefault="00633DED" w:rsidP="00F317C0">
            <w:pPr>
              <w:numPr>
                <w:ilvl w:val="0"/>
                <w:numId w:val="34"/>
              </w:numPr>
              <w:rPr>
                <w:b w:val="0"/>
                <w:sz w:val="20"/>
              </w:rPr>
            </w:pPr>
            <w:r>
              <w:rPr>
                <w:sz w:val="20"/>
              </w:rPr>
              <w:t xml:space="preserve"> Higiéniai előírások</w:t>
            </w:r>
            <w:r>
              <w:rPr>
                <w:b w:val="0"/>
                <w:sz w:val="20"/>
              </w:rPr>
              <w:t>: a tárolás és munkavégzés  ne ugyanabban a helyiségben történjen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Az általános higiéniai standardokat be kell tartani</w:t>
            </w:r>
          </w:p>
          <w:p w:rsidR="00633DED" w:rsidRDefault="00633DED" w:rsidP="00F317C0">
            <w:pPr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Légzésvédelem:</w:t>
            </w:r>
          </w:p>
          <w:p w:rsidR="00633DED" w:rsidRDefault="00633DED">
            <w:pPr>
              <w:ind w:left="45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Nem szükséges</w:t>
            </w:r>
          </w:p>
          <w:p w:rsidR="00633DED" w:rsidRDefault="00633DED" w:rsidP="00F317C0">
            <w:pPr>
              <w:numPr>
                <w:ilvl w:val="0"/>
                <w:numId w:val="15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Kézvédelem</w:t>
            </w:r>
            <w:r>
              <w:rPr>
                <w:b w:val="0"/>
                <w:sz w:val="20"/>
              </w:rPr>
              <w:t xml:space="preserve">: </w:t>
            </w:r>
          </w:p>
          <w:p w:rsidR="00633DED" w:rsidRDefault="00633DED">
            <w:pPr>
              <w:ind w:left="45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Nem szükséges</w:t>
            </w:r>
          </w:p>
          <w:p w:rsidR="00633DED" w:rsidRDefault="00633DED" w:rsidP="00F317C0">
            <w:pPr>
              <w:numPr>
                <w:ilvl w:val="0"/>
                <w:numId w:val="36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Szemvédelem:</w:t>
            </w:r>
            <w:r>
              <w:rPr>
                <w:b w:val="0"/>
                <w:sz w:val="20"/>
              </w:rPr>
              <w:t xml:space="preserve"> 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Nem szükséges</w:t>
            </w:r>
          </w:p>
          <w:p w:rsidR="00633DED" w:rsidRDefault="00633DED" w:rsidP="00F317C0">
            <w:pPr>
              <w:numPr>
                <w:ilvl w:val="0"/>
                <w:numId w:val="15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Testvédelem</w:t>
            </w:r>
            <w:r>
              <w:rPr>
                <w:b w:val="0"/>
                <w:sz w:val="20"/>
              </w:rPr>
              <w:t>:</w:t>
            </w:r>
          </w:p>
          <w:p w:rsidR="00633DED" w:rsidRDefault="00633DED">
            <w:pPr>
              <w:ind w:left="45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Nagyobb mennyiség esetén arcmaszkot és általános védőöltözetet kell használni</w:t>
            </w:r>
          </w:p>
        </w:tc>
      </w:tr>
      <w:tr w:rsidR="00633DED">
        <w:trPr>
          <w:cantSplit/>
        </w:trPr>
        <w:tc>
          <w:tcPr>
            <w:tcW w:w="4615" w:type="dxa"/>
            <w:tcBorders>
              <w:right w:val="nil"/>
            </w:tcBorders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Fizikai – kémiai tulajdonságok:</w:t>
            </w:r>
          </w:p>
          <w:p w:rsidR="00633DED" w:rsidRDefault="00633DED" w:rsidP="00F317C0">
            <w:pPr>
              <w:numPr>
                <w:ilvl w:val="0"/>
                <w:numId w:val="16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b w:val="0"/>
                <w:sz w:val="20"/>
              </w:rPr>
              <w:t>: por</w:t>
            </w:r>
          </w:p>
          <w:p w:rsidR="00633DED" w:rsidRDefault="00633DED" w:rsidP="00F317C0">
            <w:pPr>
              <w:numPr>
                <w:ilvl w:val="0"/>
                <w:numId w:val="16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Szín</w:t>
            </w:r>
            <w:r>
              <w:rPr>
                <w:b w:val="0"/>
                <w:sz w:val="20"/>
              </w:rPr>
              <w:t>: rózsaszín , erezett rózsaszín, színtelen</w:t>
            </w:r>
          </w:p>
          <w:p w:rsidR="00633DED" w:rsidRDefault="00633DED" w:rsidP="00F317C0">
            <w:pPr>
              <w:numPr>
                <w:ilvl w:val="0"/>
                <w:numId w:val="16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Szag</w:t>
            </w:r>
            <w:r>
              <w:rPr>
                <w:b w:val="0"/>
                <w:sz w:val="20"/>
              </w:rPr>
              <w:t>: nincs</w:t>
            </w:r>
          </w:p>
          <w:p w:rsidR="00633DED" w:rsidRDefault="00633DED" w:rsidP="00F317C0">
            <w:pPr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Állapotváltozás</w:t>
            </w:r>
          </w:p>
          <w:p w:rsidR="00633DED" w:rsidRDefault="00633DED">
            <w:pPr>
              <w:rPr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18"/>
              </w:numPr>
              <w:ind w:firstLine="255"/>
              <w:rPr>
                <w:sz w:val="20"/>
              </w:rPr>
            </w:pPr>
            <w:r>
              <w:rPr>
                <w:sz w:val="20"/>
              </w:rPr>
              <w:t>Olvadáspont /olvadási határok</w:t>
            </w:r>
          </w:p>
          <w:p w:rsidR="00633DED" w:rsidRDefault="00633DED" w:rsidP="00F317C0">
            <w:pPr>
              <w:numPr>
                <w:ilvl w:val="0"/>
                <w:numId w:val="18"/>
              </w:numPr>
              <w:ind w:firstLine="255"/>
              <w:rPr>
                <w:sz w:val="20"/>
              </w:rPr>
            </w:pPr>
            <w:r>
              <w:rPr>
                <w:sz w:val="20"/>
              </w:rPr>
              <w:t>Forráspont</w:t>
            </w:r>
          </w:p>
          <w:p w:rsidR="00633DED" w:rsidRDefault="00633DED" w:rsidP="00F317C0">
            <w:pPr>
              <w:numPr>
                <w:ilvl w:val="0"/>
                <w:numId w:val="18"/>
              </w:numPr>
              <w:ind w:firstLine="255"/>
              <w:rPr>
                <w:sz w:val="20"/>
              </w:rPr>
            </w:pPr>
            <w:r>
              <w:rPr>
                <w:sz w:val="20"/>
              </w:rPr>
              <w:t>Lobbanáspont</w:t>
            </w:r>
          </w:p>
          <w:p w:rsidR="00633DED" w:rsidRDefault="00633DED" w:rsidP="00F317C0">
            <w:pPr>
              <w:numPr>
                <w:ilvl w:val="0"/>
                <w:numId w:val="18"/>
              </w:numPr>
              <w:ind w:firstLine="255"/>
              <w:rPr>
                <w:sz w:val="20"/>
              </w:rPr>
            </w:pPr>
            <w:r>
              <w:rPr>
                <w:sz w:val="20"/>
              </w:rPr>
              <w:t>Öngyulladási hőmérséklet</w:t>
            </w: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pStyle w:val="Szvegtrzs"/>
              <w:rPr>
                <w:b/>
              </w:rPr>
            </w:pPr>
            <w:r>
              <w:t xml:space="preserve">        Robbanásveszély</w:t>
            </w:r>
            <w:r>
              <w:rPr>
                <w:b/>
              </w:rPr>
              <w:t xml:space="preserve">: </w:t>
            </w:r>
          </w:p>
          <w:p w:rsidR="00633DED" w:rsidRDefault="00633DED">
            <w:pPr>
              <w:pStyle w:val="Szvegtrzs"/>
            </w:pPr>
          </w:p>
          <w:p w:rsidR="00633DED" w:rsidRDefault="00633DED" w:rsidP="00F317C0">
            <w:pPr>
              <w:numPr>
                <w:ilvl w:val="0"/>
                <w:numId w:val="19"/>
              </w:numPr>
              <w:ind w:firstLine="255"/>
              <w:rPr>
                <w:sz w:val="20"/>
              </w:rPr>
            </w:pPr>
            <w:r>
              <w:rPr>
                <w:sz w:val="20"/>
              </w:rPr>
              <w:t>Robbanási határok:</w:t>
            </w:r>
          </w:p>
          <w:p w:rsidR="00633DED" w:rsidRDefault="00633DED">
            <w:pPr>
              <w:ind w:left="2410"/>
              <w:rPr>
                <w:sz w:val="20"/>
              </w:rPr>
            </w:pPr>
            <w:r>
              <w:rPr>
                <w:sz w:val="20"/>
              </w:rPr>
              <w:t>Alsó</w:t>
            </w:r>
          </w:p>
          <w:p w:rsidR="00633DED" w:rsidRDefault="00633DED">
            <w:pPr>
              <w:ind w:left="2410"/>
              <w:rPr>
                <w:sz w:val="20"/>
              </w:rPr>
            </w:pPr>
            <w:r>
              <w:rPr>
                <w:sz w:val="20"/>
              </w:rPr>
              <w:t>Felső</w:t>
            </w:r>
          </w:p>
          <w:p w:rsidR="00633DED" w:rsidRDefault="00633DED">
            <w:pPr>
              <w:ind w:left="2410"/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20"/>
              </w:numPr>
              <w:ind w:firstLine="255"/>
              <w:rPr>
                <w:sz w:val="20"/>
              </w:rPr>
            </w:pPr>
            <w:r>
              <w:rPr>
                <w:sz w:val="20"/>
              </w:rPr>
              <w:t xml:space="preserve">Gőznyomás                          </w:t>
            </w:r>
          </w:p>
          <w:p w:rsidR="00633DED" w:rsidRDefault="00633DED" w:rsidP="00F317C0">
            <w:pPr>
              <w:numPr>
                <w:ilvl w:val="0"/>
                <w:numId w:val="20"/>
              </w:numPr>
              <w:ind w:firstLine="255"/>
              <w:rPr>
                <w:b w:val="0"/>
                <w:sz w:val="20"/>
              </w:rPr>
            </w:pPr>
            <w:r>
              <w:rPr>
                <w:sz w:val="20"/>
              </w:rPr>
              <w:t xml:space="preserve">Sűrűség:                                                </w:t>
            </w:r>
          </w:p>
          <w:p w:rsidR="00633DED" w:rsidRDefault="00633DED" w:rsidP="00F317C0">
            <w:pPr>
              <w:numPr>
                <w:ilvl w:val="0"/>
                <w:numId w:val="21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Oldhatóság /keverhetőség az alábbiakkal</w:t>
            </w:r>
            <w:r>
              <w:rPr>
                <w:b w:val="0"/>
                <w:sz w:val="20"/>
              </w:rPr>
              <w:t>:</w:t>
            </w:r>
          </w:p>
          <w:p w:rsidR="00633DED" w:rsidRDefault="00633DED">
            <w:pPr>
              <w:pStyle w:val="Szvegtrzs"/>
              <w:ind w:left="709"/>
            </w:pPr>
            <w:r>
              <w:t>Víz:</w:t>
            </w:r>
          </w:p>
          <w:p w:rsidR="00633DED" w:rsidRDefault="00633DED" w:rsidP="00F317C0">
            <w:pPr>
              <w:numPr>
                <w:ilvl w:val="0"/>
                <w:numId w:val="22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Oldószer tartalom:</w:t>
            </w:r>
          </w:p>
        </w:tc>
        <w:tc>
          <w:tcPr>
            <w:tcW w:w="4616" w:type="dxa"/>
            <w:gridSpan w:val="2"/>
            <w:tcBorders>
              <w:left w:val="nil"/>
            </w:tcBorders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pStyle w:val="Cmsor1"/>
            </w:pPr>
          </w:p>
          <w:p w:rsidR="00633DED" w:rsidRDefault="00633DED">
            <w:pPr>
              <w:pStyle w:val="Cmsor1"/>
            </w:pPr>
            <w:r>
              <w:t>Érték/Tartomány/ Egység/- Módszer</w:t>
            </w:r>
          </w:p>
          <w:p w:rsidR="00633DED" w:rsidRDefault="00633DED"/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  <w:r>
              <w:rPr>
                <w:sz w:val="20"/>
              </w:rPr>
              <w:t>&gt; 200 C</w:t>
            </w:r>
            <w:r>
              <w:rPr>
                <w:sz w:val="20"/>
                <w:vertAlign w:val="superscript"/>
              </w:rPr>
              <w:t>o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sz w:val="20"/>
              </w:rPr>
              <w:t>&gt;350 C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ASTM-0, 1929-68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  <w:r>
              <w:rPr>
                <w:sz w:val="20"/>
              </w:rPr>
              <w:t>700 kg/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+/- 10</w:t>
            </w: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  <w:r>
              <w:rPr>
                <w:sz w:val="20"/>
              </w:rPr>
              <w:t xml:space="preserve">oldhatatlan, 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sz w:val="20"/>
              </w:rPr>
              <w:t>szerves oldószerben oldható</w:t>
            </w: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pStyle w:val="Szvegtrzs"/>
              <w:rPr>
                <w:b/>
                <w:u w:val="single"/>
              </w:rPr>
            </w:pPr>
          </w:p>
          <w:p w:rsidR="00633DED" w:rsidRDefault="00633DED" w:rsidP="00F317C0">
            <w:pPr>
              <w:pStyle w:val="Szvegtrzs"/>
              <w:numPr>
                <w:ilvl w:val="0"/>
                <w:numId w:val="2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Stabilitás és reakcióképesség:</w:t>
            </w:r>
          </w:p>
          <w:p w:rsidR="00633DED" w:rsidRDefault="00633DED">
            <w:pPr>
              <w:pStyle w:val="Szvegtrzs"/>
              <w:rPr>
                <w:b/>
                <w:u w:val="single"/>
              </w:rPr>
            </w:pPr>
            <w:r>
              <w:rPr>
                <w:b/>
              </w:rPr>
              <w:t>Kerülendő feltételek:</w:t>
            </w:r>
          </w:p>
          <w:p w:rsidR="00633DED" w:rsidRDefault="00633DED" w:rsidP="00F317C0">
            <w:pPr>
              <w:numPr>
                <w:ilvl w:val="0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 xml:space="preserve">Termikus bomlás /: </w:t>
            </w:r>
            <w:r>
              <w:rPr>
                <w:b w:val="0"/>
                <w:sz w:val="20"/>
              </w:rPr>
              <w:t>200 C</w:t>
            </w:r>
            <w:r>
              <w:rPr>
                <w:b w:val="0"/>
                <w:sz w:val="20"/>
                <w:vertAlign w:val="superscript"/>
              </w:rPr>
              <w:t>o</w:t>
            </w:r>
            <w:r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vertAlign w:val="superscript"/>
              </w:rPr>
              <w:t xml:space="preserve"> </w:t>
            </w:r>
            <w:r>
              <w:rPr>
                <w:b w:val="0"/>
                <w:sz w:val="20"/>
              </w:rPr>
              <w:t>elõírásnak megfelelõ használat esetén nem bomlik.</w:t>
            </w:r>
          </w:p>
          <w:p w:rsidR="00633DED" w:rsidRDefault="00633DED">
            <w:pPr>
              <w:rPr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25"/>
              </w:numPr>
              <w:rPr>
                <w:b w:val="0"/>
                <w:sz w:val="20"/>
              </w:rPr>
            </w:pPr>
            <w:r>
              <w:rPr>
                <w:sz w:val="20"/>
              </w:rPr>
              <w:t>Veszélyes  reakciók:</w:t>
            </w:r>
          </w:p>
          <w:p w:rsidR="00633DED" w:rsidRDefault="00633DED">
            <w:pPr>
              <w:ind w:left="709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Nem ismeretes</w:t>
            </w:r>
          </w:p>
          <w:p w:rsidR="00633DED" w:rsidRDefault="00633DED">
            <w:pPr>
              <w:ind w:left="709"/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Veszélyes bomlástermékek</w:t>
            </w:r>
            <w:r>
              <w:rPr>
                <w:b w:val="0"/>
                <w:sz w:val="20"/>
              </w:rPr>
              <w:t xml:space="preserve">: </w:t>
            </w:r>
          </w:p>
          <w:p w:rsidR="00633DED" w:rsidRDefault="00633DED">
            <w:pPr>
              <w:ind w:left="45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Nem ismeretes. </w:t>
            </w:r>
          </w:p>
          <w:p w:rsidR="00633DED" w:rsidRDefault="00633DED">
            <w:pPr>
              <w:ind w:left="45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Polimerizálódhat unsaturated monomerekké.</w:t>
            </w:r>
          </w:p>
          <w:p w:rsidR="00633DED" w:rsidRDefault="00633DED">
            <w:pPr>
              <w:pStyle w:val="Szvegtrzsbehzssal"/>
            </w:pPr>
            <w:r>
              <w:t xml:space="preserve"> Por robbanási osztály: ST1</w:t>
            </w:r>
          </w:p>
          <w:p w:rsidR="00633DED" w:rsidRDefault="00633DED">
            <w:pPr>
              <w:pStyle w:val="Szvegtrzsbehzssal"/>
              <w:rPr>
                <w:b/>
              </w:rPr>
            </w:pP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pStyle w:val="Szvegtrzs"/>
              <w:rPr>
                <w:b/>
                <w:u w:val="single"/>
              </w:rPr>
            </w:pPr>
          </w:p>
          <w:p w:rsidR="00633DED" w:rsidRDefault="00633DED" w:rsidP="00F317C0">
            <w:pPr>
              <w:pStyle w:val="Szvegtrzs"/>
              <w:numPr>
                <w:ilvl w:val="0"/>
                <w:numId w:val="3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Adatok a termék toxikológiájához:</w:t>
            </w:r>
          </w:p>
          <w:p w:rsidR="00633DED" w:rsidRDefault="00633DED">
            <w:pPr>
              <w:rPr>
                <w:sz w:val="20"/>
              </w:rPr>
            </w:pPr>
            <w:r>
              <w:rPr>
                <w:sz w:val="20"/>
              </w:rPr>
              <w:t>Akut toxicitás:</w:t>
            </w:r>
          </w:p>
          <w:p w:rsidR="00633DED" w:rsidRDefault="00633DED" w:rsidP="00F317C0">
            <w:pPr>
              <w:numPr>
                <w:ilvl w:val="0"/>
                <w:numId w:val="30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oralis mérgezés LD50 /patkány/ &gt;5000 mg/kg</w:t>
            </w:r>
          </w:p>
          <w:p w:rsidR="00633DED" w:rsidRDefault="00633DED" w:rsidP="00F317C0">
            <w:pPr>
              <w:numPr>
                <w:ilvl w:val="0"/>
                <w:numId w:val="30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belégzés: LC50 patkány:  n.g.</w:t>
            </w:r>
          </w:p>
          <w:p w:rsidR="00633DED" w:rsidRDefault="00633DED">
            <w:pPr>
              <w:ind w:firstLine="9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Elsődleges irritációs hatások: </w:t>
            </w:r>
          </w:p>
          <w:p w:rsidR="00633DED" w:rsidRDefault="00633DED" w:rsidP="00F317C0">
            <w:pPr>
              <w:numPr>
                <w:ilvl w:val="0"/>
                <w:numId w:val="31"/>
              </w:numPr>
              <w:tabs>
                <w:tab w:val="clear" w:pos="454"/>
                <w:tab w:val="num" w:pos="544"/>
              </w:tabs>
              <w:ind w:left="544" w:hanging="54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Szem / száj: nem irritatív</w:t>
            </w:r>
          </w:p>
          <w:p w:rsidR="00633DED" w:rsidRDefault="00633DED">
            <w:pPr>
              <w:rPr>
                <w:sz w:val="20"/>
              </w:rPr>
            </w:pPr>
            <w:r>
              <w:rPr>
                <w:sz w:val="20"/>
              </w:rPr>
              <w:t>Krónikus toxicitás:</w:t>
            </w:r>
          </w:p>
          <w:p w:rsidR="00633DED" w:rsidRDefault="00633DED" w:rsidP="00F317C0">
            <w:pPr>
              <w:numPr>
                <w:ilvl w:val="0"/>
                <w:numId w:val="26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Érzékenység : nincs</w:t>
            </w:r>
          </w:p>
          <w:p w:rsidR="00633DED" w:rsidRDefault="00633DED" w:rsidP="00F317C0">
            <w:pPr>
              <w:numPr>
                <w:ilvl w:val="0"/>
                <w:numId w:val="26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Rákkeltő hatás: n.g. </w:t>
            </w:r>
          </w:p>
          <w:p w:rsidR="00633DED" w:rsidRDefault="00633DED" w:rsidP="00F317C0">
            <w:pPr>
              <w:numPr>
                <w:ilvl w:val="0"/>
                <w:numId w:val="26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Mutagenitás: n.g.</w:t>
            </w:r>
          </w:p>
          <w:p w:rsidR="00633DED" w:rsidRDefault="00633DED" w:rsidP="00F317C0">
            <w:pPr>
              <w:numPr>
                <w:ilvl w:val="0"/>
                <w:numId w:val="26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Reproduktív toxicitás: n.g.</w:t>
            </w:r>
          </w:p>
          <w:p w:rsidR="00633DED" w:rsidRDefault="00633DED" w:rsidP="00F317C0">
            <w:pPr>
              <w:numPr>
                <w:ilvl w:val="0"/>
                <w:numId w:val="26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Narkózis : n.g.</w:t>
            </w:r>
          </w:p>
          <w:p w:rsidR="00633DED" w:rsidRDefault="00633DED" w:rsidP="00F317C0">
            <w:pPr>
              <w:numPr>
                <w:ilvl w:val="0"/>
                <w:numId w:val="26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További információ: n.g.</w:t>
            </w: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2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Ökológiai adatok:</w:t>
            </w:r>
          </w:p>
          <w:p w:rsidR="00633DED" w:rsidRDefault="00633DED" w:rsidP="00F317C0">
            <w:pPr>
              <w:numPr>
                <w:ilvl w:val="0"/>
                <w:numId w:val="37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Biodegradebilitás: nem biodegradibilis.</w:t>
            </w:r>
          </w:p>
          <w:p w:rsidR="00633DED" w:rsidRDefault="00633DED" w:rsidP="00F317C0">
            <w:pPr>
              <w:numPr>
                <w:ilvl w:val="0"/>
                <w:numId w:val="37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Aljnövényztere: inert polymer</w:t>
            </w:r>
          </w:p>
          <w:p w:rsidR="00633DED" w:rsidRDefault="00633DED" w:rsidP="00F317C0">
            <w:pPr>
              <w:numPr>
                <w:ilvl w:val="0"/>
                <w:numId w:val="37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Víz mérgezés: inert polymer</w:t>
            </w:r>
          </w:p>
          <w:p w:rsidR="00633DED" w:rsidRDefault="00633DED" w:rsidP="00F317C0">
            <w:pPr>
              <w:numPr>
                <w:ilvl w:val="0"/>
                <w:numId w:val="37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Víz-veszélyességi besorolás:   0</w:t>
            </w:r>
          </w:p>
          <w:p w:rsidR="00633DED" w:rsidRDefault="00633DED" w:rsidP="00F317C0">
            <w:pPr>
              <w:numPr>
                <w:ilvl w:val="0"/>
                <w:numId w:val="37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ACC to VCI besorolás:  AZ UK-ban használt besorolás alapján osztályozott</w:t>
            </w:r>
          </w:p>
          <w:p w:rsidR="00633DED" w:rsidRDefault="00633DED">
            <w:pPr>
              <w:ind w:left="426"/>
              <w:rPr>
                <w:b w:val="0"/>
                <w:sz w:val="20"/>
              </w:rPr>
            </w:pP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Hulladékkezelés, ártalmatlanítás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29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Ajánlás: hulladékgyûjtõ</w:t>
            </w:r>
          </w:p>
          <w:p w:rsidR="00633DED" w:rsidRDefault="00633DED" w:rsidP="00F317C0">
            <w:pPr>
              <w:numPr>
                <w:ilvl w:val="0"/>
                <w:numId w:val="29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Figyelni kell a helyi és nemzetközi szabályokra</w:t>
            </w:r>
          </w:p>
          <w:p w:rsidR="00633DED" w:rsidRDefault="00633DED" w:rsidP="00F317C0">
            <w:pPr>
              <w:numPr>
                <w:ilvl w:val="0"/>
                <w:numId w:val="29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Megfelelő lebontó anyagokat / növényeket alkalmazzon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</w:tc>
      </w:tr>
      <w:tr w:rsidR="00633DED">
        <w:tc>
          <w:tcPr>
            <w:tcW w:w="5778" w:type="dxa"/>
            <w:gridSpan w:val="2"/>
            <w:tcBorders>
              <w:right w:val="nil"/>
            </w:tcBorders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Szállítási előírások: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Kerülendő a 40C</w:t>
            </w:r>
            <w:r>
              <w:rPr>
                <w:b w:val="0"/>
                <w:sz w:val="20"/>
                <w:vertAlign w:val="superscript"/>
              </w:rPr>
              <w:t>o</w:t>
            </w:r>
            <w:r>
              <w:rPr>
                <w:b w:val="0"/>
                <w:sz w:val="20"/>
              </w:rPr>
              <w:t xml:space="preserve"> feletti szállítás, Tartsa száraz helyen, és távol az élelmiszerektől.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pStyle w:val="Cmsor2"/>
            </w:pPr>
            <w:r>
              <w:t xml:space="preserve">Szárazföldi úti szállítás 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 No. Út/ vasút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GGVS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GGVE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RID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GGVS/ADR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DDVE/RID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pStyle w:val="Cmsor2"/>
            </w:pPr>
            <w:r>
              <w:t xml:space="preserve">Tengeri szállítás 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 No.  Tenger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IMDG/GGV tenger-kód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EmS-szám</w:t>
            </w:r>
          </w:p>
          <w:p w:rsidR="00633DED" w:rsidRDefault="00633DE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MFAG szám</w:t>
            </w: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Légi szállítás: </w:t>
            </w: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pStyle w:val="Szvegtrzs"/>
              <w:rPr>
                <w:b/>
              </w:rPr>
            </w:pPr>
            <w:r>
              <w:rPr>
                <w:b/>
              </w:rPr>
              <w:t>UN / ID szám:</w:t>
            </w:r>
          </w:p>
          <w:p w:rsidR="00633DED" w:rsidRDefault="00633DED">
            <w:pPr>
              <w:rPr>
                <w:sz w:val="20"/>
              </w:rPr>
            </w:pPr>
            <w:r>
              <w:rPr>
                <w:sz w:val="20"/>
              </w:rPr>
              <w:t xml:space="preserve">ICAO / IATA-osztály: </w:t>
            </w:r>
          </w:p>
          <w:p w:rsidR="00633DED" w:rsidRDefault="00633DED">
            <w:pPr>
              <w:rPr>
                <w:b w:val="0"/>
                <w:sz w:val="20"/>
              </w:rPr>
            </w:pPr>
          </w:p>
        </w:tc>
        <w:tc>
          <w:tcPr>
            <w:tcW w:w="3453" w:type="dxa"/>
            <w:tcBorders>
              <w:left w:val="nil"/>
            </w:tcBorders>
          </w:tcPr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  <w:p w:rsidR="00633DED" w:rsidRDefault="00633DED">
            <w:pPr>
              <w:rPr>
                <w:sz w:val="20"/>
              </w:rPr>
            </w:pP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b w:val="0"/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Szabályozási előírások::</w:t>
            </w:r>
          </w:p>
          <w:p w:rsidR="00633DED" w:rsidRDefault="00633DED">
            <w:pPr>
              <w:rPr>
                <w:sz w:val="20"/>
                <w:u w:val="single"/>
              </w:rPr>
            </w:pPr>
          </w:p>
          <w:p w:rsidR="00633DED" w:rsidRDefault="00633DED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Szabályozási információk:</w:t>
            </w:r>
          </w:p>
          <w:p w:rsidR="00633DED" w:rsidRDefault="00633DED">
            <w:pPr>
              <w:rPr>
                <w:sz w:val="20"/>
                <w:u w:val="single"/>
              </w:rPr>
            </w:pPr>
          </w:p>
          <w:p w:rsidR="00633DED" w:rsidRDefault="00633DED">
            <w:pPr>
              <w:ind w:left="426"/>
              <w:rPr>
                <w:b w:val="0"/>
                <w:sz w:val="20"/>
              </w:rPr>
            </w:pPr>
          </w:p>
        </w:tc>
      </w:tr>
      <w:tr w:rsidR="00633DED">
        <w:tc>
          <w:tcPr>
            <w:tcW w:w="9231" w:type="dxa"/>
            <w:gridSpan w:val="3"/>
          </w:tcPr>
          <w:p w:rsidR="00633DED" w:rsidRDefault="00633DED">
            <w:pPr>
              <w:rPr>
                <w:sz w:val="20"/>
              </w:rPr>
            </w:pPr>
          </w:p>
          <w:p w:rsidR="00633DED" w:rsidRDefault="00633DED" w:rsidP="00F317C0">
            <w:pPr>
              <w:numPr>
                <w:ilvl w:val="0"/>
                <w:numId w:val="33"/>
              </w:numPr>
              <w:rPr>
                <w:b w:val="0"/>
                <w:sz w:val="20"/>
                <w:u w:val="single"/>
              </w:rPr>
            </w:pPr>
            <w:r>
              <w:rPr>
                <w:sz w:val="20"/>
                <w:u w:val="single"/>
              </w:rPr>
              <w:t>Egyéb adatok</w:t>
            </w:r>
            <w:r>
              <w:rPr>
                <w:b w:val="0"/>
                <w:sz w:val="20"/>
                <w:u w:val="single"/>
              </w:rPr>
              <w:t>:</w:t>
            </w:r>
          </w:p>
          <w:p w:rsidR="00633DED" w:rsidRDefault="00633DED" w:rsidP="00F317C0">
            <w:pPr>
              <w:numPr>
                <w:ilvl w:val="0"/>
                <w:numId w:val="27"/>
              </w:numPr>
              <w:rPr>
                <w:b w:val="0"/>
                <w:sz w:val="20"/>
              </w:rPr>
            </w:pPr>
            <w:r>
              <w:rPr>
                <w:sz w:val="20"/>
              </w:rPr>
              <w:t xml:space="preserve">Készítette:  </w:t>
            </w:r>
            <w:r>
              <w:rPr>
                <w:b w:val="0"/>
                <w:sz w:val="20"/>
              </w:rPr>
              <w:t>Pegadent  Bt</w:t>
            </w:r>
            <w:r w:rsidRPr="005455B7">
              <w:rPr>
                <w:rFonts w:ascii="Cambria" w:hAnsi="Cambria"/>
                <w:b w:val="0"/>
                <w:sz w:val="18"/>
                <w:szCs w:val="18"/>
              </w:rPr>
              <w:t xml:space="preserve">., </w:t>
            </w:r>
            <w:r w:rsidR="005455B7" w:rsidRPr="005455B7">
              <w:rPr>
                <w:rFonts w:ascii="Cambria" w:eastAsia="ArialNarrow,Italic" w:hAnsi="Cambria" w:cs="ArialNarrow,Italic"/>
                <w:b w:val="0"/>
                <w:i/>
                <w:iCs/>
                <w:sz w:val="18"/>
                <w:szCs w:val="18"/>
              </w:rPr>
              <w:t>Conforms to Regulation (EC) No. 1907/2006 (REACH), Annex II Edition 2 PL – 1 EN</w:t>
            </w:r>
            <w:r w:rsidR="0069361D" w:rsidRPr="005455B7">
              <w:rPr>
                <w:rFonts w:ascii="Cambria" w:hAnsi="Cambria"/>
                <w:b w:val="0"/>
                <w:sz w:val="18"/>
                <w:szCs w:val="18"/>
              </w:rPr>
              <w:t xml:space="preserve"> -kiadványa alapján ,</w:t>
            </w:r>
            <w:r w:rsidR="005455B7">
              <w:rPr>
                <w:b w:val="0"/>
                <w:sz w:val="20"/>
              </w:rPr>
              <w:t xml:space="preserve"> 2012</w:t>
            </w:r>
            <w:r>
              <w:rPr>
                <w:b w:val="0"/>
                <w:sz w:val="20"/>
              </w:rPr>
              <w:t>.</w:t>
            </w:r>
            <w:r w:rsidR="0069361D">
              <w:rPr>
                <w:b w:val="0"/>
                <w:sz w:val="20"/>
              </w:rPr>
              <w:t>április</w:t>
            </w:r>
            <w:r>
              <w:rPr>
                <w:b w:val="0"/>
                <w:sz w:val="20"/>
              </w:rPr>
              <w:t xml:space="preserve"> 13.</w:t>
            </w:r>
          </w:p>
          <w:p w:rsidR="00633DED" w:rsidRDefault="00633DED" w:rsidP="0069361D">
            <w:pPr>
              <w:rPr>
                <w:b w:val="0"/>
                <w:sz w:val="20"/>
              </w:rPr>
            </w:pPr>
          </w:p>
        </w:tc>
      </w:tr>
    </w:tbl>
    <w:p w:rsidR="00633DED" w:rsidRDefault="00633DED">
      <w:pPr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295C03">
        <w:rPr>
          <w:b w:val="0"/>
          <w:noProof/>
          <w:sz w:val="20"/>
          <w:lang w:val="es-ES" w:eastAsia="es-ES"/>
        </w:rPr>
        <w:drawing>
          <wp:inline distT="0" distB="0" distL="0" distR="0">
            <wp:extent cx="2543175" cy="49530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DED">
      <w:footerReference w:type="even" r:id="rId9"/>
      <w:footerReference w:type="default" r:id="rId10"/>
      <w:pgSz w:w="11907" w:h="16840" w:code="9"/>
      <w:pgMar w:top="284" w:right="14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78" w:rsidRDefault="00BB4C78">
      <w:r>
        <w:separator/>
      </w:r>
    </w:p>
  </w:endnote>
  <w:endnote w:type="continuationSeparator" w:id="0">
    <w:p w:rsidR="00BB4C78" w:rsidRDefault="00BB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DED" w:rsidRDefault="00633DE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33DED" w:rsidRDefault="00633DE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DED" w:rsidRDefault="00633DE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E6242">
      <w:rPr>
        <w:rStyle w:val="Oldalszm"/>
        <w:noProof/>
      </w:rPr>
      <w:t>1</w:t>
    </w:r>
    <w:r>
      <w:rPr>
        <w:rStyle w:val="Oldalszm"/>
      </w:rPr>
      <w:fldChar w:fldCharType="end"/>
    </w:r>
  </w:p>
  <w:p w:rsidR="00633DED" w:rsidRDefault="00633D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78" w:rsidRDefault="00BB4C78">
      <w:r>
        <w:separator/>
      </w:r>
    </w:p>
  </w:footnote>
  <w:footnote w:type="continuationSeparator" w:id="0">
    <w:p w:rsidR="00BB4C78" w:rsidRDefault="00BB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430"/>
    <w:multiLevelType w:val="singleLevel"/>
    <w:tmpl w:val="54ACC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E6DDA"/>
    <w:multiLevelType w:val="singleLevel"/>
    <w:tmpl w:val="F3D616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" w15:restartNumberingAfterBreak="0">
    <w:nsid w:val="0B0D173F"/>
    <w:multiLevelType w:val="multilevel"/>
    <w:tmpl w:val="057A7CF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04B71"/>
    <w:multiLevelType w:val="singleLevel"/>
    <w:tmpl w:val="A86A793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4" w15:restartNumberingAfterBreak="0">
    <w:nsid w:val="0D843882"/>
    <w:multiLevelType w:val="singleLevel"/>
    <w:tmpl w:val="4A7A9E6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181D3B0C"/>
    <w:multiLevelType w:val="singleLevel"/>
    <w:tmpl w:val="F3D616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6" w15:restartNumberingAfterBreak="0">
    <w:nsid w:val="188C5896"/>
    <w:multiLevelType w:val="singleLevel"/>
    <w:tmpl w:val="23FCC4F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0F4A6E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8" w15:restartNumberingAfterBreak="0">
    <w:nsid w:val="1BF00558"/>
    <w:multiLevelType w:val="singleLevel"/>
    <w:tmpl w:val="F3D616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9" w15:restartNumberingAfterBreak="0">
    <w:nsid w:val="33102620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33BE2DB6"/>
    <w:multiLevelType w:val="singleLevel"/>
    <w:tmpl w:val="A06017E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3CFA74BD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43111AB0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3" w15:restartNumberingAfterBreak="0">
    <w:nsid w:val="451F78BE"/>
    <w:multiLevelType w:val="singleLevel"/>
    <w:tmpl w:val="4A7A9E6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4" w15:restartNumberingAfterBreak="0">
    <w:nsid w:val="45215151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 w15:restartNumberingAfterBreak="0">
    <w:nsid w:val="45A5156F"/>
    <w:multiLevelType w:val="singleLevel"/>
    <w:tmpl w:val="F3D616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6" w15:restartNumberingAfterBreak="0">
    <w:nsid w:val="47E01E92"/>
    <w:multiLevelType w:val="hybridMultilevel"/>
    <w:tmpl w:val="F460A2F8"/>
    <w:lvl w:ilvl="0" w:tplc="D6D6912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E864C81C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53BCE19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2D1C19C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31EBCE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92E991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4F3E659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925AF850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E1B0BA2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B970B6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8" w15:restartNumberingAfterBreak="0">
    <w:nsid w:val="4A7476A5"/>
    <w:multiLevelType w:val="singleLevel"/>
    <w:tmpl w:val="4038328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CDE3478"/>
    <w:multiLevelType w:val="hybridMultilevel"/>
    <w:tmpl w:val="2D4AC982"/>
    <w:lvl w:ilvl="0" w:tplc="4FD887BE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C9E4D6E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EF54F61C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167274E4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E2C8976E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392D3D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6FC66C28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D23604A4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4F68B95C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4E073959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1" w15:restartNumberingAfterBreak="0">
    <w:nsid w:val="50E07A24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2" w15:restartNumberingAfterBreak="0">
    <w:nsid w:val="51056B10"/>
    <w:multiLevelType w:val="singleLevel"/>
    <w:tmpl w:val="0D3C22F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538142B"/>
    <w:multiLevelType w:val="singleLevel"/>
    <w:tmpl w:val="CD3CFF96"/>
    <w:lvl w:ilvl="0">
      <w:start w:val="1"/>
      <w:numFmt w:val="bullet"/>
      <w:lvlText w:val="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4" w15:restartNumberingAfterBreak="0">
    <w:nsid w:val="56FA76F5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5" w15:restartNumberingAfterBreak="0">
    <w:nsid w:val="5A6640F9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6" w15:restartNumberingAfterBreak="0">
    <w:nsid w:val="5B2B3918"/>
    <w:multiLevelType w:val="singleLevel"/>
    <w:tmpl w:val="CD3CFF96"/>
    <w:lvl w:ilvl="0">
      <w:start w:val="1"/>
      <w:numFmt w:val="bullet"/>
      <w:lvlText w:val="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7" w15:restartNumberingAfterBreak="0">
    <w:nsid w:val="5BC025ED"/>
    <w:multiLevelType w:val="singleLevel"/>
    <w:tmpl w:val="54ACC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3A6A2C"/>
    <w:multiLevelType w:val="singleLevel"/>
    <w:tmpl w:val="A3AEBFA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9" w15:restartNumberingAfterBreak="0">
    <w:nsid w:val="61B64BD2"/>
    <w:multiLevelType w:val="singleLevel"/>
    <w:tmpl w:val="4A7A9E6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0" w15:restartNumberingAfterBreak="0">
    <w:nsid w:val="67BF48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8B47FEE"/>
    <w:multiLevelType w:val="singleLevel"/>
    <w:tmpl w:val="F3D616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2" w15:restartNumberingAfterBreak="0">
    <w:nsid w:val="6A162CC0"/>
    <w:multiLevelType w:val="singleLevel"/>
    <w:tmpl w:val="54ACC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A67DEE"/>
    <w:multiLevelType w:val="singleLevel"/>
    <w:tmpl w:val="F3D616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4" w15:restartNumberingAfterBreak="0">
    <w:nsid w:val="6FEA2E7C"/>
    <w:multiLevelType w:val="singleLevel"/>
    <w:tmpl w:val="00784EB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090570"/>
    <w:multiLevelType w:val="singleLevel"/>
    <w:tmpl w:val="CD3CFF96"/>
    <w:lvl w:ilvl="0">
      <w:start w:val="1"/>
      <w:numFmt w:val="bullet"/>
      <w:lvlText w:val="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6" w15:restartNumberingAfterBreak="0">
    <w:nsid w:val="7A0D058B"/>
    <w:multiLevelType w:val="singleLevel"/>
    <w:tmpl w:val="A86A793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30"/>
  </w:num>
  <w:num w:numId="2">
    <w:abstractNumId w:val="18"/>
  </w:num>
  <w:num w:numId="3">
    <w:abstractNumId w:val="13"/>
  </w:num>
  <w:num w:numId="4">
    <w:abstractNumId w:val="29"/>
  </w:num>
  <w:num w:numId="5">
    <w:abstractNumId w:val="4"/>
  </w:num>
  <w:num w:numId="6">
    <w:abstractNumId w:val="24"/>
  </w:num>
  <w:num w:numId="7">
    <w:abstractNumId w:val="25"/>
  </w:num>
  <w:num w:numId="8">
    <w:abstractNumId w:val="21"/>
  </w:num>
  <w:num w:numId="9">
    <w:abstractNumId w:val="9"/>
  </w:num>
  <w:num w:numId="10">
    <w:abstractNumId w:val="14"/>
  </w:num>
  <w:num w:numId="11">
    <w:abstractNumId w:val="17"/>
  </w:num>
  <w:num w:numId="12">
    <w:abstractNumId w:val="12"/>
  </w:num>
  <w:num w:numId="13">
    <w:abstractNumId w:val="28"/>
  </w:num>
  <w:num w:numId="14">
    <w:abstractNumId w:val="11"/>
  </w:num>
  <w:num w:numId="15">
    <w:abstractNumId w:val="7"/>
  </w:num>
  <w:num w:numId="16">
    <w:abstractNumId w:val="36"/>
  </w:num>
  <w:num w:numId="17">
    <w:abstractNumId w:val="3"/>
  </w:num>
  <w:num w:numId="18">
    <w:abstractNumId w:val="23"/>
  </w:num>
  <w:num w:numId="19">
    <w:abstractNumId w:val="35"/>
  </w:num>
  <w:num w:numId="20">
    <w:abstractNumId w:val="26"/>
  </w:num>
  <w:num w:numId="21">
    <w:abstractNumId w:val="5"/>
  </w:num>
  <w:num w:numId="22">
    <w:abstractNumId w:val="31"/>
  </w:num>
  <w:num w:numId="23">
    <w:abstractNumId w:val="34"/>
  </w:num>
  <w:num w:numId="24">
    <w:abstractNumId w:val="15"/>
  </w:num>
  <w:num w:numId="25">
    <w:abstractNumId w:val="33"/>
  </w:num>
  <w:num w:numId="26">
    <w:abstractNumId w:val="1"/>
  </w:num>
  <w:num w:numId="27">
    <w:abstractNumId w:val="10"/>
  </w:num>
  <w:num w:numId="28">
    <w:abstractNumId w:val="16"/>
  </w:num>
  <w:num w:numId="29">
    <w:abstractNumId w:val="19"/>
  </w:num>
  <w:num w:numId="30">
    <w:abstractNumId w:val="27"/>
  </w:num>
  <w:num w:numId="31">
    <w:abstractNumId w:val="8"/>
  </w:num>
  <w:num w:numId="32">
    <w:abstractNumId w:val="22"/>
  </w:num>
  <w:num w:numId="33">
    <w:abstractNumId w:val="6"/>
  </w:num>
  <w:num w:numId="34">
    <w:abstractNumId w:val="32"/>
  </w:num>
  <w:num w:numId="35">
    <w:abstractNumId w:val="0"/>
  </w:num>
  <w:num w:numId="36">
    <w:abstractNumId w:val="20"/>
  </w:num>
  <w:num w:numId="37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9C"/>
    <w:rsid w:val="00295C03"/>
    <w:rsid w:val="005455B7"/>
    <w:rsid w:val="0062709C"/>
    <w:rsid w:val="00627383"/>
    <w:rsid w:val="00633DED"/>
    <w:rsid w:val="0069361D"/>
    <w:rsid w:val="00974F64"/>
    <w:rsid w:val="00B74987"/>
    <w:rsid w:val="00BB4C78"/>
    <w:rsid w:val="00DE6242"/>
    <w:rsid w:val="00F3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DFB39-599A-4CDA-812E-33D2229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b/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0"/>
      <w:u w:val="single"/>
    </w:rPr>
  </w:style>
  <w:style w:type="paragraph" w:styleId="Cmsor3">
    <w:name w:val="heading 3"/>
    <w:basedOn w:val="Norml"/>
    <w:next w:val="Norml"/>
    <w:qFormat/>
    <w:pPr>
      <w:keepNext/>
      <w:ind w:firstLine="426"/>
      <w:outlineLvl w:val="2"/>
    </w:pPr>
    <w:rPr>
      <w:sz w:val="20"/>
    </w:rPr>
  </w:style>
  <w:style w:type="paragraph" w:styleId="Cmsor4">
    <w:name w:val="heading 4"/>
    <w:basedOn w:val="Norml"/>
    <w:next w:val="Norml"/>
    <w:qFormat/>
    <w:pPr>
      <w:keepNext/>
      <w:ind w:left="851"/>
      <w:outlineLvl w:val="3"/>
    </w:pPr>
    <w:rPr>
      <w:color w:val="FF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</w:style>
  <w:style w:type="paragraph" w:styleId="Szvegtrzs">
    <w:name w:val="Body Text"/>
    <w:basedOn w:val="Norml"/>
    <w:rPr>
      <w:b w:val="0"/>
      <w:sz w:val="20"/>
    </w:rPr>
  </w:style>
  <w:style w:type="paragraph" w:styleId="Szvegtrzsbehzssal">
    <w:name w:val="Body Text Indent"/>
    <w:basedOn w:val="Norml"/>
    <w:pPr>
      <w:ind w:left="426"/>
    </w:pPr>
    <w:rPr>
      <w:b w:val="0"/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behzssal2">
    <w:name w:val="Body Text Indent 2"/>
    <w:basedOn w:val="Norml"/>
    <w:pPr>
      <w:ind w:left="454"/>
    </w:pPr>
    <w:rPr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basedOn w:val="Bekezdsalapbettpusa"/>
    <w:uiPriority w:val="99"/>
    <w:unhideWhenUsed/>
    <w:rsid w:val="00545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uskiewicz@wiedent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/>
  <LinksUpToDate>false</LinksUpToDate>
  <CharactersWithSpaces>4714</CharactersWithSpaces>
  <SharedDoc>false</SharedDoc>
  <HLinks>
    <vt:vector size="6" baseType="variant"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mailto:a.suskiewicz@wiedent.com.pl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Minarik Annamária</dc:creator>
  <cp:lastModifiedBy>Petra</cp:lastModifiedBy>
  <cp:revision>2</cp:revision>
  <cp:lastPrinted>2005-05-24T10:39:00Z</cp:lastPrinted>
  <dcterms:created xsi:type="dcterms:W3CDTF">2020-10-30T09:17:00Z</dcterms:created>
  <dcterms:modified xsi:type="dcterms:W3CDTF">2020-10-30T09:17:00Z</dcterms:modified>
</cp:coreProperties>
</file>